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70" w:rsidRDefault="0020293B">
      <w:bookmarkStart w:id="0" w:name="_GoBack"/>
      <w:bookmarkEnd w:id="0"/>
      <w:r>
        <w:t xml:space="preserve">           </w:t>
      </w:r>
      <w:r>
        <w:rPr>
          <w:noProof/>
          <w:lang w:val="fr-FR" w:eastAsia="fr-FR"/>
        </w:rPr>
        <w:drawing>
          <wp:inline distT="0" distB="0" distL="0" distR="0">
            <wp:extent cx="6167755" cy="10102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C4970" w:rsidRDefault="008C4970"/>
    <w:p w:rsidR="008C4970" w:rsidRDefault="0020293B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4F6228" w:themeColor="accent3" w:themeShade="80"/>
          <w:sz w:val="28"/>
          <w:szCs w:val="28"/>
          <w:lang w:val="fr-FR"/>
        </w:rPr>
      </w:pPr>
      <w:r>
        <w:rPr>
          <w:b/>
          <w:color w:val="4F6228" w:themeColor="accent3" w:themeShade="80"/>
          <w:sz w:val="28"/>
          <w:szCs w:val="28"/>
          <w:lang w:val="fr-FR"/>
        </w:rPr>
        <w:t>Rencontres Internationales des Résistances aux OGM</w:t>
      </w:r>
    </w:p>
    <w:p w:rsidR="008C4970" w:rsidRDefault="0020293B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4F6228" w:themeColor="accent3" w:themeShade="80"/>
          <w:sz w:val="28"/>
          <w:szCs w:val="28"/>
          <w:lang w:val="fr-FR"/>
        </w:rPr>
      </w:pPr>
      <w:r>
        <w:rPr>
          <w:b/>
          <w:color w:val="4F6228" w:themeColor="accent3" w:themeShade="80"/>
          <w:sz w:val="28"/>
          <w:szCs w:val="28"/>
          <w:lang w:val="fr-FR"/>
        </w:rPr>
        <w:t>Lorient – 28, 29 &amp; 30 avril 2017</w:t>
      </w:r>
    </w:p>
    <w:p w:rsidR="008C4970" w:rsidRDefault="008C4970">
      <w:pPr>
        <w:pStyle w:val="Sansinterligne"/>
        <w:rPr>
          <w:b/>
          <w:sz w:val="24"/>
          <w:lang w:val="fr-FR"/>
        </w:rPr>
      </w:pPr>
    </w:p>
    <w:p w:rsidR="008C4970" w:rsidRDefault="0020293B">
      <w:pPr>
        <w:pStyle w:val="Sansinterligne"/>
        <w:jc w:val="both"/>
        <w:rPr>
          <w:sz w:val="28"/>
          <w:szCs w:val="28"/>
          <w:lang w:val="fr-FR"/>
        </w:rPr>
      </w:pPr>
      <w:r>
        <w:rPr>
          <w:sz w:val="24"/>
          <w:lang w:val="fr-FR"/>
        </w:rPr>
        <w:tab/>
      </w:r>
      <w:r>
        <w:rPr>
          <w:sz w:val="28"/>
          <w:szCs w:val="28"/>
          <w:lang w:val="fr-FR"/>
        </w:rPr>
        <w:t xml:space="preserve">Les RIR OGM de Lorient se divisent en 2 temps. Une partie est à destination du public. Ce sont des soirées conférences-débats le 28 et 29 avril et une </w:t>
      </w:r>
      <w:r>
        <w:rPr>
          <w:sz w:val="28"/>
          <w:szCs w:val="28"/>
          <w:lang w:val="fr-FR"/>
        </w:rPr>
        <w:t xml:space="preserve">soirée festive, </w:t>
      </w:r>
      <w:proofErr w:type="spellStart"/>
      <w:r>
        <w:rPr>
          <w:sz w:val="28"/>
          <w:szCs w:val="28"/>
          <w:lang w:val="fr-FR"/>
        </w:rPr>
        <w:t>fest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noz</w:t>
      </w:r>
      <w:proofErr w:type="spellEnd"/>
      <w:r>
        <w:rPr>
          <w:sz w:val="28"/>
          <w:szCs w:val="28"/>
          <w:lang w:val="fr-FR"/>
        </w:rPr>
        <w:t>, le 30 en clôture des Rencontres.</w:t>
      </w:r>
    </w:p>
    <w:p w:rsidR="008C4970" w:rsidRDefault="008C4970">
      <w:pPr>
        <w:pStyle w:val="Sansinterligne"/>
        <w:jc w:val="both"/>
        <w:rPr>
          <w:sz w:val="28"/>
          <w:szCs w:val="28"/>
          <w:lang w:val="fr-FR"/>
        </w:rPr>
      </w:pPr>
    </w:p>
    <w:p w:rsidR="008C4970" w:rsidRDefault="0020293B">
      <w:pPr>
        <w:pStyle w:val="Sansinterligne"/>
        <w:jc w:val="both"/>
      </w:pPr>
      <w:r>
        <w:rPr>
          <w:sz w:val="28"/>
          <w:szCs w:val="28"/>
          <w:lang w:val="fr-FR"/>
        </w:rPr>
        <w:tab/>
        <w:t>L’autre partie, objectif majeur, consiste au déroulement de 3 jours d’ateliers, de travail collectif et de plénières entre militantes  et militants venant des 5 continents et engagé(e)s dans la r</w:t>
      </w:r>
      <w:r>
        <w:rPr>
          <w:sz w:val="28"/>
          <w:szCs w:val="28"/>
          <w:lang w:val="fr-FR"/>
        </w:rPr>
        <w:t xml:space="preserve">ésistance aux OGM, aux pesticides, pour le développement des alternatives. Ces travaux s’inscrivent dans la suite des RIR OGM de Ouagadougou et de l’Assemblée des Peuples de La Haye </w:t>
      </w:r>
      <w:r>
        <w:rPr>
          <w:color w:val="000000"/>
          <w:sz w:val="28"/>
          <w:szCs w:val="28"/>
          <w:lang w:val="fr-FR"/>
        </w:rPr>
        <w:t>en 2016</w:t>
      </w:r>
      <w:r>
        <w:rPr>
          <w:sz w:val="28"/>
          <w:szCs w:val="28"/>
          <w:lang w:val="fr-FR"/>
        </w:rPr>
        <w:t>. Au Burkina Faso, nous appelions la convergence des luttes, et avo</w:t>
      </w:r>
      <w:r>
        <w:rPr>
          <w:sz w:val="28"/>
          <w:szCs w:val="28"/>
          <w:lang w:val="fr-FR"/>
        </w:rPr>
        <w:t>ns affirmé cette volonté en Hollande. En Bretagne nous voulons la concrétiser et la mettre en œuvre.</w:t>
      </w:r>
    </w:p>
    <w:p w:rsidR="008C4970" w:rsidRDefault="008C4970">
      <w:pPr>
        <w:pStyle w:val="Sansinterligne"/>
        <w:jc w:val="both"/>
        <w:rPr>
          <w:sz w:val="28"/>
          <w:szCs w:val="28"/>
          <w:lang w:val="fr-FR"/>
        </w:rPr>
      </w:pPr>
    </w:p>
    <w:p w:rsidR="008C4970" w:rsidRDefault="0020293B">
      <w:pPr>
        <w:pStyle w:val="Sansinterligne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Cette convergence doit être dans la lutte comme dans la construction des alternatives. Les 28, 29 et 30 </w:t>
      </w:r>
      <w:r>
        <w:rPr>
          <w:color w:val="000000"/>
          <w:sz w:val="28"/>
          <w:szCs w:val="28"/>
          <w:lang w:val="fr-FR"/>
        </w:rPr>
        <w:t>avril,</w:t>
      </w:r>
      <w:r>
        <w:rPr>
          <w:sz w:val="28"/>
          <w:szCs w:val="28"/>
          <w:lang w:val="fr-FR"/>
        </w:rPr>
        <w:t xml:space="preserve"> elle se construira par des échanges d’expé</w:t>
      </w:r>
      <w:r>
        <w:rPr>
          <w:sz w:val="28"/>
          <w:szCs w:val="28"/>
          <w:lang w:val="fr-FR"/>
        </w:rPr>
        <w:t>riences, la conscience de nos différences, l’affirmation de nos solidarités.</w:t>
      </w:r>
    </w:p>
    <w:p w:rsidR="008C4970" w:rsidRDefault="008C4970">
      <w:pPr>
        <w:pStyle w:val="Sansinterligne"/>
        <w:jc w:val="both"/>
        <w:rPr>
          <w:sz w:val="28"/>
          <w:szCs w:val="28"/>
          <w:lang w:val="fr-FR"/>
        </w:rPr>
      </w:pPr>
    </w:p>
    <w:p w:rsidR="008C4970" w:rsidRDefault="0020293B">
      <w:pPr>
        <w:pStyle w:val="Sansinterligne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fr-FR"/>
        </w:rPr>
        <w:t>Déroulement des ateliers</w:t>
      </w:r>
    </w:p>
    <w:p w:rsidR="008C4970" w:rsidRDefault="008C4970">
      <w:pPr>
        <w:pStyle w:val="Sansinterligne"/>
        <w:jc w:val="both"/>
        <w:rPr>
          <w:b/>
          <w:sz w:val="28"/>
          <w:szCs w:val="28"/>
          <w:lang w:val="fr-FR"/>
        </w:rPr>
      </w:pPr>
    </w:p>
    <w:p w:rsidR="008C4970" w:rsidRDefault="0020293B">
      <w:pPr>
        <w:pStyle w:val="Sansinterligne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Durant 3 jours, 5 ateliers se dérouleront simultanément, alternant avec des plénières et suivant 5 thématiques ou fils rouges que seront  </w:t>
      </w:r>
    </w:p>
    <w:p w:rsidR="008C4970" w:rsidRDefault="008C4970">
      <w:pPr>
        <w:pStyle w:val="Sansinterligne"/>
        <w:jc w:val="both"/>
        <w:rPr>
          <w:sz w:val="28"/>
          <w:szCs w:val="28"/>
          <w:lang w:val="fr-FR"/>
        </w:rPr>
      </w:pPr>
    </w:p>
    <w:p w:rsidR="008C4970" w:rsidRDefault="0020293B">
      <w:pPr>
        <w:pStyle w:val="Sansinterligne"/>
        <w:jc w:val="center"/>
      </w:pPr>
      <w:r>
        <w:rPr>
          <w:sz w:val="28"/>
          <w:szCs w:val="28"/>
          <w:lang w:val="fr-FR"/>
        </w:rPr>
        <w:t>1) La conve</w:t>
      </w:r>
      <w:r>
        <w:rPr>
          <w:sz w:val="28"/>
          <w:szCs w:val="28"/>
          <w:lang w:val="fr-FR"/>
        </w:rPr>
        <w:t>rgence des luttes, 2) les semences 3) Le droit  4) Les pesticides</w:t>
      </w:r>
    </w:p>
    <w:p w:rsidR="008C4970" w:rsidRDefault="0020293B">
      <w:pPr>
        <w:pStyle w:val="Sansinterligne"/>
        <w:jc w:val="center"/>
      </w:pPr>
      <w:r>
        <w:rPr>
          <w:sz w:val="28"/>
          <w:szCs w:val="28"/>
          <w:lang w:val="fr-FR"/>
        </w:rPr>
        <w:t>5) L’agroécologie</w:t>
      </w:r>
    </w:p>
    <w:p w:rsidR="008C4970" w:rsidRDefault="008C4970">
      <w:pPr>
        <w:pStyle w:val="Sansinterligne"/>
        <w:jc w:val="both"/>
        <w:rPr>
          <w:sz w:val="28"/>
          <w:szCs w:val="28"/>
        </w:rPr>
      </w:pPr>
    </w:p>
    <w:p w:rsidR="008C4970" w:rsidRDefault="0020293B">
      <w:pPr>
        <w:pStyle w:val="Sansinterligne"/>
        <w:jc w:val="both"/>
      </w:pPr>
      <w:r>
        <w:rPr>
          <w:sz w:val="28"/>
          <w:szCs w:val="28"/>
          <w:lang w:val="fr-FR"/>
        </w:rPr>
        <w:tab/>
        <w:t>Nous disposerons de 250 places environ. Les ateliers se dérouleront en 3 langues (français, espagnol et anglais) en traductions simultanées. Les personnes inscrites pourr</w:t>
      </w:r>
      <w:r>
        <w:rPr>
          <w:sz w:val="28"/>
          <w:szCs w:val="28"/>
          <w:lang w:val="fr-FR"/>
        </w:rPr>
        <w:t>ont passer d’une thématique à une autre.</w:t>
      </w:r>
    </w:p>
    <w:p w:rsidR="008C4970" w:rsidRDefault="008C4970">
      <w:pPr>
        <w:pStyle w:val="Sansinterligne"/>
        <w:jc w:val="both"/>
        <w:rPr>
          <w:sz w:val="28"/>
          <w:szCs w:val="28"/>
          <w:lang w:val="fr-FR"/>
        </w:rPr>
      </w:pPr>
    </w:p>
    <w:p w:rsidR="008C4970" w:rsidRDefault="0020293B">
      <w:pPr>
        <w:pStyle w:val="Sansinterligne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8C4970" w:rsidRDefault="0020293B">
      <w:pPr>
        <w:pStyle w:val="Sansinterligne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8C4970" w:rsidRDefault="008C4970">
      <w:pPr>
        <w:pStyle w:val="Sansinterligne"/>
        <w:jc w:val="both"/>
        <w:rPr>
          <w:sz w:val="28"/>
          <w:szCs w:val="28"/>
          <w:lang w:val="fr-FR"/>
        </w:rPr>
      </w:pPr>
    </w:p>
    <w:p w:rsidR="008C4970" w:rsidRDefault="008C4970">
      <w:pPr>
        <w:pStyle w:val="Sansinterligne"/>
        <w:jc w:val="both"/>
        <w:rPr>
          <w:sz w:val="24"/>
          <w:szCs w:val="24"/>
          <w:lang w:val="fr-FR"/>
        </w:rPr>
      </w:pPr>
    </w:p>
    <w:p w:rsidR="008C4970" w:rsidRDefault="008C4970">
      <w:pPr>
        <w:pStyle w:val="Sansinterligne"/>
        <w:jc w:val="both"/>
        <w:rPr>
          <w:sz w:val="24"/>
          <w:szCs w:val="24"/>
          <w:lang w:val="fr-FR"/>
        </w:rPr>
      </w:pPr>
    </w:p>
    <w:p w:rsidR="008C4970" w:rsidRDefault="008C4970">
      <w:pPr>
        <w:pStyle w:val="Sansinterligne"/>
        <w:jc w:val="both"/>
        <w:rPr>
          <w:sz w:val="24"/>
          <w:szCs w:val="24"/>
          <w:lang w:val="fr-FR"/>
        </w:rPr>
      </w:pPr>
    </w:p>
    <w:p w:rsidR="008C4970" w:rsidRDefault="008C4970">
      <w:pPr>
        <w:pStyle w:val="Sansinterligne"/>
        <w:jc w:val="both"/>
        <w:rPr>
          <w:sz w:val="24"/>
          <w:szCs w:val="24"/>
          <w:lang w:val="fr-FR"/>
        </w:rPr>
      </w:pPr>
    </w:p>
    <w:p w:rsidR="008C4970" w:rsidRDefault="008C4970">
      <w:pPr>
        <w:pStyle w:val="Sansinterligne"/>
        <w:rPr>
          <w:lang w:val="fr-FR"/>
        </w:rPr>
      </w:pPr>
    </w:p>
    <w:p w:rsidR="008C4970" w:rsidRDefault="0020293B">
      <w:pPr>
        <w:pStyle w:val="Sansinterligne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  <w:lang w:val="fr-FR"/>
        </w:rPr>
        <w:t>I</w:t>
      </w:r>
      <w:proofErr w:type="spellStart"/>
      <w:r>
        <w:rPr>
          <w:b/>
          <w:sz w:val="36"/>
          <w:szCs w:val="36"/>
          <w:u w:val="single"/>
          <w:lang w:val="en-US"/>
        </w:rPr>
        <w:t>nscription</w:t>
      </w:r>
      <w:proofErr w:type="spellEnd"/>
    </w:p>
    <w:p w:rsidR="008C4970" w:rsidRDefault="008C4970">
      <w:pPr>
        <w:pStyle w:val="Sansinterligne"/>
        <w:jc w:val="center"/>
        <w:rPr>
          <w:lang w:val="fr-FR"/>
        </w:rPr>
      </w:pPr>
    </w:p>
    <w:p w:rsidR="008C4970" w:rsidRDefault="008C4970">
      <w:pPr>
        <w:pStyle w:val="Sansinterligne"/>
        <w:jc w:val="center"/>
        <w:rPr>
          <w:lang w:val="fr-FR"/>
        </w:rPr>
      </w:pPr>
    </w:p>
    <w:tbl>
      <w:tblPr>
        <w:tblStyle w:val="Grilledutableau"/>
        <w:tblW w:w="921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00"/>
        <w:gridCol w:w="2976"/>
        <w:gridCol w:w="1703"/>
        <w:gridCol w:w="3432"/>
      </w:tblGrid>
      <w:tr w:rsidR="008C4970">
        <w:tc>
          <w:tcPr>
            <w:tcW w:w="1099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  <w:tc>
          <w:tcPr>
            <w:tcW w:w="2976" w:type="dxa"/>
            <w:shd w:val="clear" w:color="auto" w:fill="auto"/>
            <w:tcMar>
              <w:left w:w="98" w:type="dxa"/>
            </w:tcMar>
          </w:tcPr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  <w:tc>
          <w:tcPr>
            <w:tcW w:w="1703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PRENOM</w:t>
            </w:r>
          </w:p>
        </w:tc>
        <w:tc>
          <w:tcPr>
            <w:tcW w:w="3432" w:type="dxa"/>
            <w:shd w:val="clear" w:color="auto" w:fill="auto"/>
            <w:tcMar>
              <w:left w:w="98" w:type="dxa"/>
            </w:tcMar>
          </w:tcPr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</w:tr>
    </w:tbl>
    <w:p w:rsidR="008C4970" w:rsidRDefault="008C4970">
      <w:pPr>
        <w:pStyle w:val="Sansinterligne"/>
        <w:jc w:val="center"/>
        <w:rPr>
          <w:lang w:val="fr-FR"/>
        </w:rPr>
      </w:pPr>
    </w:p>
    <w:tbl>
      <w:tblPr>
        <w:tblStyle w:val="Grilledutableau"/>
        <w:tblW w:w="928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00"/>
        <w:gridCol w:w="3402"/>
        <w:gridCol w:w="1701"/>
        <w:gridCol w:w="3085"/>
      </w:tblGrid>
      <w:tr w:rsidR="008C4970">
        <w:tc>
          <w:tcPr>
            <w:tcW w:w="1099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E-MAlL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Téléphone</w:t>
            </w:r>
          </w:p>
        </w:tc>
        <w:tc>
          <w:tcPr>
            <w:tcW w:w="3085" w:type="dxa"/>
            <w:shd w:val="clear" w:color="auto" w:fill="auto"/>
            <w:tcMar>
              <w:left w:w="98" w:type="dxa"/>
            </w:tcMar>
          </w:tcPr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</w:tr>
    </w:tbl>
    <w:p w:rsidR="008C4970" w:rsidRDefault="008C4970">
      <w:pPr>
        <w:pStyle w:val="Sansinterligne"/>
        <w:jc w:val="center"/>
        <w:rPr>
          <w:lang w:val="fr-FR"/>
        </w:rPr>
      </w:pPr>
    </w:p>
    <w:tbl>
      <w:tblPr>
        <w:tblStyle w:val="Grilledutableau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8"/>
        <w:gridCol w:w="7544"/>
      </w:tblGrid>
      <w:tr w:rsidR="008C4970">
        <w:tc>
          <w:tcPr>
            <w:tcW w:w="1668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ORGANISATION</w:t>
            </w:r>
          </w:p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  <w:tc>
          <w:tcPr>
            <w:tcW w:w="7543" w:type="dxa"/>
            <w:shd w:val="clear" w:color="auto" w:fill="auto"/>
            <w:tcMar>
              <w:left w:w="98" w:type="dxa"/>
            </w:tcMar>
          </w:tcPr>
          <w:p w:rsidR="008C4970" w:rsidRDefault="008C4970">
            <w:pPr>
              <w:pStyle w:val="Sansinterligne"/>
              <w:jc w:val="center"/>
              <w:rPr>
                <w:lang w:val="fr-FR"/>
              </w:rPr>
            </w:pPr>
          </w:p>
        </w:tc>
      </w:tr>
      <w:tr w:rsidR="008C4970">
        <w:tc>
          <w:tcPr>
            <w:tcW w:w="1668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OBJET</w:t>
            </w:r>
          </w:p>
        </w:tc>
        <w:tc>
          <w:tcPr>
            <w:tcW w:w="7543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Syndicat  – ONG  -  Association –  Autre :            </w:t>
            </w:r>
          </w:p>
        </w:tc>
      </w:tr>
    </w:tbl>
    <w:p w:rsidR="008C4970" w:rsidRDefault="008C4970">
      <w:pPr>
        <w:pStyle w:val="Sansinterligne"/>
        <w:jc w:val="center"/>
        <w:rPr>
          <w:lang w:val="fr-FR"/>
        </w:rPr>
      </w:pPr>
    </w:p>
    <w:tbl>
      <w:tblPr>
        <w:tblStyle w:val="Grilledutableau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8"/>
        <w:gridCol w:w="7544"/>
      </w:tblGrid>
      <w:tr w:rsidR="008C4970">
        <w:tc>
          <w:tcPr>
            <w:tcW w:w="1668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LANGUE(S)</w:t>
            </w:r>
          </w:p>
        </w:tc>
        <w:tc>
          <w:tcPr>
            <w:tcW w:w="7543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  <w:jc w:val="center"/>
              <w:rPr>
                <w:lang w:val="fr-FR"/>
              </w:rPr>
            </w:pPr>
            <w:r>
              <w:rPr>
                <w:lang w:val="fr-FR"/>
              </w:rPr>
              <w:t>Anglais – Espagnol – Français –  Autre:</w:t>
            </w:r>
          </w:p>
        </w:tc>
      </w:tr>
    </w:tbl>
    <w:p w:rsidR="008C4970" w:rsidRDefault="008C4970">
      <w:pPr>
        <w:pStyle w:val="Sansinterligne"/>
        <w:jc w:val="center"/>
        <w:rPr>
          <w:lang w:val="fr-FR"/>
        </w:rPr>
      </w:pPr>
    </w:p>
    <w:tbl>
      <w:tblPr>
        <w:tblStyle w:val="Grilledutableau"/>
        <w:tblW w:w="6345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13"/>
        <w:gridCol w:w="1132"/>
      </w:tblGrid>
      <w:tr w:rsidR="008C4970">
        <w:tc>
          <w:tcPr>
            <w:tcW w:w="5212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</w:pPr>
            <w:r>
              <w:rPr>
                <w:lang w:val="fr-FR"/>
              </w:rPr>
              <w:tab/>
              <w:t xml:space="preserve">Inscription aux </w:t>
            </w:r>
            <w:r>
              <w:rPr>
                <w:lang w:val="fr-FR"/>
              </w:rPr>
              <w:t>ateliers du 28 avril (</w:t>
            </w:r>
            <w:proofErr w:type="spellStart"/>
            <w:r>
              <w:rPr>
                <w:lang w:val="fr-FR"/>
              </w:rPr>
              <w:t>après midi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Oui – Non </w:t>
            </w:r>
          </w:p>
        </w:tc>
      </w:tr>
      <w:tr w:rsidR="008C4970">
        <w:tc>
          <w:tcPr>
            <w:tcW w:w="5212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Inscription aux ateliers du 29 avril (journée complète)</w:t>
            </w: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Oui – Non</w:t>
            </w:r>
          </w:p>
        </w:tc>
      </w:tr>
      <w:tr w:rsidR="008C4970">
        <w:tc>
          <w:tcPr>
            <w:tcW w:w="5212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Inscription aux ateliers du 30 avril (journée complète)</w:t>
            </w:r>
          </w:p>
        </w:tc>
        <w:tc>
          <w:tcPr>
            <w:tcW w:w="1132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Oui – Non</w:t>
            </w:r>
          </w:p>
        </w:tc>
      </w:tr>
    </w:tbl>
    <w:p w:rsidR="008C4970" w:rsidRDefault="008C4970">
      <w:pPr>
        <w:pStyle w:val="Sansinterligne"/>
        <w:rPr>
          <w:lang w:val="fr-FR"/>
        </w:rPr>
      </w:pPr>
    </w:p>
    <w:tbl>
      <w:tblPr>
        <w:tblStyle w:val="Grilledutableau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90"/>
        <w:gridCol w:w="1022"/>
      </w:tblGrid>
      <w:tr w:rsidR="008C4970">
        <w:tc>
          <w:tcPr>
            <w:tcW w:w="8189" w:type="dxa"/>
            <w:shd w:val="clear" w:color="auto" w:fill="C2D69B" w:themeFill="accent3" w:themeFillTint="99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Je viens avec mon véhicule et nécessite une place de parking </w:t>
            </w:r>
          </w:p>
        </w:tc>
        <w:tc>
          <w:tcPr>
            <w:tcW w:w="1022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</w:pPr>
            <w:r>
              <w:rPr>
                <w:lang w:val="fr-FR"/>
              </w:rPr>
              <w:t xml:space="preserve">Oui Non </w:t>
            </w:r>
          </w:p>
        </w:tc>
      </w:tr>
    </w:tbl>
    <w:p w:rsidR="008C4970" w:rsidRDefault="008C4970">
      <w:pPr>
        <w:pStyle w:val="Sansinterligne"/>
        <w:rPr>
          <w:lang w:val="fr-FR"/>
        </w:rPr>
      </w:pPr>
    </w:p>
    <w:p w:rsidR="008C4970" w:rsidRDefault="008C4970">
      <w:pPr>
        <w:contextualSpacing/>
        <w:jc w:val="both"/>
        <w:rPr>
          <w:sz w:val="28"/>
          <w:szCs w:val="28"/>
          <w:lang w:val="fr-FR"/>
        </w:rPr>
      </w:pPr>
    </w:p>
    <w:p w:rsidR="008C4970" w:rsidRDefault="0020293B">
      <w:pPr>
        <w:contextualSpacing/>
        <w:jc w:val="both"/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L’organisation des Rencontres Internationales des Résistances aux OGM 2017 est portée par un collectif de structures militantes qui sont chargées de diffuser ce bulletin.</w:t>
      </w:r>
    </w:p>
    <w:p w:rsidR="008C4970" w:rsidRDefault="0020293B">
      <w:pPr>
        <w:contextualSpacing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personnes qui l’auront retourné recevront rapidement une confirmation de leur ins</w:t>
      </w:r>
      <w:r>
        <w:rPr>
          <w:sz w:val="28"/>
          <w:szCs w:val="28"/>
          <w:lang w:val="fr-FR"/>
        </w:rPr>
        <w:t>cription, un programme journalier des ateliers (horaires, spécificités des ateliers par thématiques) ainsi que les informatiques complémentaires (possibilités d’hébergement, programme générale des soirées)</w:t>
      </w:r>
    </w:p>
    <w:p w:rsidR="008C4970" w:rsidRDefault="008C4970">
      <w:pPr>
        <w:contextualSpacing/>
        <w:jc w:val="both"/>
        <w:rPr>
          <w:lang w:val="fr-FR"/>
        </w:rPr>
      </w:pPr>
    </w:p>
    <w:tbl>
      <w:tblPr>
        <w:tblStyle w:val="Grilledutableau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8"/>
        <w:gridCol w:w="7544"/>
      </w:tblGrid>
      <w:tr w:rsidR="008C4970">
        <w:trPr>
          <w:trHeight w:val="1187"/>
        </w:trPr>
        <w:tc>
          <w:tcPr>
            <w:tcW w:w="1668" w:type="dxa"/>
            <w:shd w:val="clear" w:color="auto" w:fill="auto"/>
            <w:tcMar>
              <w:left w:w="98" w:type="dxa"/>
            </w:tcMar>
          </w:tcPr>
          <w:p w:rsidR="008C4970" w:rsidRDefault="0020293B">
            <w:pPr>
              <w:pStyle w:val="Sansinterligne"/>
              <w:rPr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Commentaire</w:t>
            </w: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</w:tc>
        <w:tc>
          <w:tcPr>
            <w:tcW w:w="7543" w:type="dxa"/>
            <w:shd w:val="clear" w:color="auto" w:fill="auto"/>
            <w:tcMar>
              <w:left w:w="98" w:type="dxa"/>
            </w:tcMar>
          </w:tcPr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  <w:p w:rsidR="008C4970" w:rsidRDefault="008C4970">
            <w:pPr>
              <w:pStyle w:val="Sansinterligne"/>
              <w:rPr>
                <w:lang w:val="fr-FR"/>
              </w:rPr>
            </w:pPr>
          </w:p>
        </w:tc>
      </w:tr>
    </w:tbl>
    <w:p w:rsidR="008C4970" w:rsidRDefault="008C4970">
      <w:pPr>
        <w:pStyle w:val="Sansinterligne"/>
        <w:rPr>
          <w:lang w:val="fr-FR"/>
        </w:rPr>
      </w:pPr>
    </w:p>
    <w:p w:rsidR="008C4970" w:rsidRDefault="0020293B">
      <w:pPr>
        <w:pStyle w:val="Sansinterligne"/>
        <w:jc w:val="center"/>
      </w:pPr>
      <w:r>
        <w:rPr>
          <w:sz w:val="28"/>
          <w:szCs w:val="28"/>
          <w:lang w:val="fr-FR"/>
        </w:rPr>
        <w:t xml:space="preserve">Contacts : </w:t>
      </w:r>
      <w:hyperlink r:id="rId7">
        <w:r>
          <w:rPr>
            <w:rStyle w:val="LienInternet"/>
            <w:sz w:val="28"/>
            <w:szCs w:val="28"/>
            <w:lang w:val="fr-FR"/>
          </w:rPr>
          <w:t>i</w:t>
        </w:r>
      </w:hyperlink>
      <w:r>
        <w:rPr>
          <w:rStyle w:val="LienInternet"/>
          <w:sz w:val="28"/>
          <w:szCs w:val="28"/>
          <w:lang w:val="fr-FR"/>
        </w:rPr>
        <w:t>nfo@ingalan.org</w:t>
      </w:r>
      <w:r>
        <w:rPr>
          <w:sz w:val="28"/>
          <w:szCs w:val="28"/>
          <w:lang w:val="fr-FR"/>
        </w:rPr>
        <w:t xml:space="preserve">  -  +33 (0)682821056</w:t>
      </w:r>
    </w:p>
    <w:sectPr w:rsidR="008C4970">
      <w:pgSz w:w="11906" w:h="16838"/>
      <w:pgMar w:top="426" w:right="806" w:bottom="993" w:left="12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70"/>
    <w:rsid w:val="0020293B"/>
    <w:rsid w:val="008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24"/>
    <w:pPr>
      <w:spacing w:after="200" w:line="276" w:lineRule="auto"/>
    </w:pPr>
    <w:rPr>
      <w:rFonts w:cs="Times New Roman"/>
      <w:color w:val="00000A"/>
      <w:sz w:val="22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33657"/>
    <w:rPr>
      <w:rFonts w:ascii="Tahoma" w:eastAsia="Calibri" w:hAnsi="Tahoma" w:cs="Tahoma"/>
      <w:sz w:val="16"/>
      <w:szCs w:val="16"/>
      <w:lang w:val="el-GR"/>
    </w:rPr>
  </w:style>
  <w:style w:type="character" w:customStyle="1" w:styleId="LienInternet">
    <w:name w:val="Lien Internet"/>
    <w:basedOn w:val="Policepardfaut"/>
    <w:uiPriority w:val="99"/>
    <w:unhideWhenUsed/>
    <w:rsid w:val="00606CCF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4D5224"/>
    <w:rPr>
      <w:rFonts w:cs="Times New Roman"/>
      <w:color w:val="00000A"/>
      <w:sz w:val="22"/>
      <w:lang w:val="el-G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336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24"/>
    <w:pPr>
      <w:spacing w:after="200" w:line="276" w:lineRule="auto"/>
    </w:pPr>
    <w:rPr>
      <w:rFonts w:cs="Times New Roman"/>
      <w:color w:val="00000A"/>
      <w:sz w:val="22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33657"/>
    <w:rPr>
      <w:rFonts w:ascii="Tahoma" w:eastAsia="Calibri" w:hAnsi="Tahoma" w:cs="Tahoma"/>
      <w:sz w:val="16"/>
      <w:szCs w:val="16"/>
      <w:lang w:val="el-GR"/>
    </w:rPr>
  </w:style>
  <w:style w:type="character" w:customStyle="1" w:styleId="LienInternet">
    <w:name w:val="Lien Internet"/>
    <w:basedOn w:val="Policepardfaut"/>
    <w:uiPriority w:val="99"/>
    <w:unhideWhenUsed/>
    <w:rsid w:val="00606CCF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4D5224"/>
    <w:rPr>
      <w:rFonts w:cs="Times New Roman"/>
      <w:color w:val="00000A"/>
      <w:sz w:val="22"/>
      <w:lang w:val="el-G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336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B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rir-ogm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63B6-9941-4ED0-93CE-6E46F5C0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Hervé</cp:lastModifiedBy>
  <cp:revision>2</cp:revision>
  <dcterms:created xsi:type="dcterms:W3CDTF">2017-03-15T09:34:00Z</dcterms:created>
  <dcterms:modified xsi:type="dcterms:W3CDTF">2017-03-15T09:34:00Z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